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4" w:lineRule="auto"/>
        <w:ind w:firstLine="495"/>
        <w:jc w:val="center"/>
        <w:rPr>
          <w:rFonts w:ascii="华文细黑" w:hAnsi="华文细黑" w:eastAsia="华文细黑"/>
          <w:b/>
          <w:sz w:val="28"/>
          <w:szCs w:val="28"/>
        </w:rPr>
      </w:pPr>
      <w:r>
        <w:rPr>
          <w:rFonts w:hint="eastAsia" w:ascii="华文细黑" w:hAnsi="华文细黑" w:eastAsia="华文细黑"/>
          <w:b/>
          <w:sz w:val="28"/>
          <w:szCs w:val="28"/>
        </w:rPr>
        <w:t>广元市2019年“万贯杯”首届中等职业学校汽车机电维修技能竞赛故障诊断（发动机控制）维修记录表</w:t>
      </w:r>
    </w:p>
    <w:tbl>
      <w:tblPr>
        <w:tblStyle w:val="5"/>
        <w:tblW w:w="9786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958"/>
        <w:gridCol w:w="6118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40" w:type="dxa"/>
            <w:vMerge w:val="restart"/>
          </w:tcPr>
          <w:p>
            <w:pPr>
              <w:widowControl/>
              <w:jc w:val="center"/>
              <w:rPr>
                <w:rFonts w:ascii="华文细黑" w:hAnsi="华文细黑" w:eastAsia="华文细黑" w:cs="宋体"/>
                <w:kern w:val="0"/>
                <w:szCs w:val="21"/>
              </w:rPr>
            </w:pPr>
            <w:r>
              <w:rPr>
                <w:rFonts w:hint="eastAsia" w:ascii="华文细黑" w:hAnsi="华文细黑" w:eastAsia="华文细黑" w:cs="宋体"/>
                <w:b/>
                <w:kern w:val="0"/>
                <w:szCs w:val="21"/>
              </w:rPr>
              <w:t>车辆信息</w:t>
            </w:r>
          </w:p>
        </w:tc>
        <w:tc>
          <w:tcPr>
            <w:tcW w:w="1958" w:type="dxa"/>
            <w:vAlign w:val="center"/>
          </w:tcPr>
          <w:p>
            <w:pPr>
              <w:jc w:val="center"/>
              <w:rPr>
                <w:rFonts w:ascii="华文细黑" w:hAnsi="华文细黑" w:eastAsia="华文细黑" w:cs="宋体"/>
                <w:b/>
                <w:kern w:val="0"/>
                <w:szCs w:val="21"/>
              </w:rPr>
            </w:pPr>
            <w:r>
              <w:rPr>
                <w:rFonts w:hint="eastAsia" w:ascii="华文细黑" w:hAnsi="华文细黑" w:eastAsia="华文细黑" w:cs="宋体"/>
                <w:b/>
                <w:kern w:val="0"/>
                <w:szCs w:val="21"/>
              </w:rPr>
              <w:t>车辆识别代码</w:t>
            </w:r>
          </w:p>
        </w:tc>
        <w:tc>
          <w:tcPr>
            <w:tcW w:w="6988" w:type="dxa"/>
            <w:gridSpan w:val="2"/>
            <w:vAlign w:val="center"/>
          </w:tcPr>
          <w:p>
            <w:pPr>
              <w:widowControl/>
              <w:rPr>
                <w:rFonts w:ascii="华文细黑" w:hAnsi="华文细黑" w:eastAsia="华文细黑" w:cs="宋体"/>
                <w:color w:val="FF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40" w:type="dxa"/>
            <w:vMerge w:val="continue"/>
          </w:tcPr>
          <w:p>
            <w:pPr>
              <w:widowControl/>
              <w:jc w:val="center"/>
              <w:rPr>
                <w:rFonts w:ascii="华文细黑" w:hAnsi="华文细黑" w:eastAsia="华文细黑" w:cs="宋体"/>
                <w:kern w:val="0"/>
                <w:szCs w:val="21"/>
              </w:rPr>
            </w:pPr>
          </w:p>
        </w:tc>
        <w:tc>
          <w:tcPr>
            <w:tcW w:w="1958" w:type="dxa"/>
            <w:vAlign w:val="center"/>
          </w:tcPr>
          <w:p>
            <w:pPr>
              <w:jc w:val="center"/>
              <w:rPr>
                <w:rFonts w:ascii="华文细黑" w:hAnsi="华文细黑" w:eastAsia="华文细黑" w:cs="宋体"/>
                <w:b/>
                <w:kern w:val="0"/>
                <w:szCs w:val="21"/>
              </w:rPr>
            </w:pPr>
            <w:r>
              <w:rPr>
                <w:rFonts w:hint="eastAsia" w:ascii="华文细黑" w:hAnsi="华文细黑" w:eastAsia="华文细黑" w:cs="宋体"/>
                <w:b/>
                <w:kern w:val="0"/>
                <w:szCs w:val="21"/>
              </w:rPr>
              <w:t>发动机型号</w:t>
            </w:r>
          </w:p>
        </w:tc>
        <w:tc>
          <w:tcPr>
            <w:tcW w:w="6988" w:type="dxa"/>
            <w:gridSpan w:val="2"/>
            <w:vAlign w:val="center"/>
          </w:tcPr>
          <w:p>
            <w:pPr>
              <w:widowControl/>
              <w:rPr>
                <w:rFonts w:ascii="华文细黑" w:hAnsi="华文细黑" w:eastAsia="华文细黑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2798" w:type="dxa"/>
            <w:gridSpan w:val="2"/>
            <w:tcBorders>
              <w:top w:val="double" w:color="auto" w:sz="4" w:space="0"/>
            </w:tcBorders>
            <w:vAlign w:val="center"/>
          </w:tcPr>
          <w:p>
            <w:pPr>
              <w:widowControl/>
              <w:rPr>
                <w:rFonts w:ascii="华文细黑" w:hAnsi="华文细黑" w:eastAsia="华文细黑" w:cs="宋体"/>
                <w:b/>
                <w:kern w:val="0"/>
                <w:szCs w:val="21"/>
              </w:rPr>
            </w:pPr>
            <w:r>
              <w:rPr>
                <w:rFonts w:hint="eastAsia" w:ascii="华文细黑" w:hAnsi="华文细黑" w:eastAsia="华文细黑" w:cs="宋体"/>
                <w:b/>
                <w:kern w:val="0"/>
                <w:szCs w:val="21"/>
              </w:rPr>
              <w:t>一、前期准备</w:t>
            </w:r>
          </w:p>
        </w:tc>
        <w:tc>
          <w:tcPr>
            <w:tcW w:w="6118" w:type="dxa"/>
            <w:tcBorders>
              <w:top w:val="double" w:color="auto" w:sz="4" w:space="0"/>
            </w:tcBorders>
          </w:tcPr>
          <w:p>
            <w:pPr>
              <w:widowControl/>
              <w:jc w:val="center"/>
              <w:rPr>
                <w:rFonts w:ascii="华文细黑" w:hAnsi="华文细黑" w:eastAsia="华文细黑" w:cs="宋体"/>
                <w:kern w:val="0"/>
                <w:szCs w:val="21"/>
              </w:rPr>
            </w:pPr>
            <w:r>
              <w:rPr>
                <w:rFonts w:hint="eastAsia" w:ascii="华文细黑" w:hAnsi="华文细黑" w:eastAsia="华文细黑" w:cs="宋体"/>
                <w:kern w:val="0"/>
                <w:szCs w:val="21"/>
              </w:rPr>
              <w:t>（不需要填写）</w:t>
            </w:r>
          </w:p>
        </w:tc>
        <w:tc>
          <w:tcPr>
            <w:tcW w:w="870" w:type="dxa"/>
            <w:tcBorders>
              <w:top w:val="double" w:color="auto" w:sz="4" w:space="0"/>
            </w:tcBorders>
          </w:tcPr>
          <w:p>
            <w:pPr>
              <w:widowControl/>
              <w:jc w:val="left"/>
              <w:rPr>
                <w:rFonts w:ascii="华文细黑" w:hAnsi="华文细黑" w:eastAsia="华文细黑" w:cs="宋体"/>
                <w:color w:val="FF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798" w:type="dxa"/>
            <w:gridSpan w:val="2"/>
            <w:vAlign w:val="center"/>
          </w:tcPr>
          <w:p>
            <w:pPr>
              <w:widowControl/>
              <w:rPr>
                <w:rFonts w:ascii="华文细黑" w:hAnsi="华文细黑" w:eastAsia="华文细黑" w:cs="宋体"/>
                <w:b/>
                <w:kern w:val="0"/>
                <w:szCs w:val="21"/>
              </w:rPr>
            </w:pPr>
            <w:r>
              <w:rPr>
                <w:rFonts w:hint="eastAsia" w:ascii="华文细黑" w:hAnsi="华文细黑" w:eastAsia="华文细黑" w:cs="宋体"/>
                <w:b/>
                <w:kern w:val="0"/>
                <w:szCs w:val="21"/>
              </w:rPr>
              <w:t>二、安全检查</w:t>
            </w:r>
          </w:p>
        </w:tc>
        <w:tc>
          <w:tcPr>
            <w:tcW w:w="6118" w:type="dxa"/>
          </w:tcPr>
          <w:p>
            <w:pPr>
              <w:widowControl/>
              <w:jc w:val="center"/>
              <w:rPr>
                <w:rFonts w:ascii="华文细黑" w:hAnsi="华文细黑" w:eastAsia="华文细黑" w:cs="宋体"/>
                <w:kern w:val="0"/>
                <w:szCs w:val="21"/>
              </w:rPr>
            </w:pPr>
            <w:r>
              <w:rPr>
                <w:rFonts w:hint="eastAsia" w:ascii="华文细黑" w:hAnsi="华文细黑" w:eastAsia="华文细黑" w:cs="宋体"/>
                <w:kern w:val="0"/>
                <w:szCs w:val="21"/>
              </w:rPr>
              <w:t>（不需要填写）</w:t>
            </w:r>
          </w:p>
        </w:tc>
        <w:tc>
          <w:tcPr>
            <w:tcW w:w="870" w:type="dxa"/>
          </w:tcPr>
          <w:p>
            <w:pPr>
              <w:widowControl/>
              <w:jc w:val="left"/>
              <w:rPr>
                <w:rFonts w:ascii="华文细黑" w:hAnsi="华文细黑" w:eastAsia="华文细黑" w:cs="宋体"/>
                <w:color w:val="FF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2798" w:type="dxa"/>
            <w:gridSpan w:val="2"/>
            <w:vAlign w:val="center"/>
          </w:tcPr>
          <w:p>
            <w:pPr>
              <w:widowControl/>
              <w:rPr>
                <w:rFonts w:ascii="华文细黑" w:hAnsi="华文细黑" w:eastAsia="华文细黑" w:cs="宋体"/>
                <w:b/>
                <w:kern w:val="0"/>
                <w:szCs w:val="21"/>
              </w:rPr>
            </w:pPr>
            <w:r>
              <w:rPr>
                <w:rFonts w:hint="eastAsia" w:ascii="华文细黑" w:hAnsi="华文细黑" w:eastAsia="华文细黑" w:cs="宋体"/>
                <w:b/>
                <w:kern w:val="0"/>
                <w:szCs w:val="21"/>
                <w:lang w:eastAsia="zh-CN"/>
              </w:rPr>
              <w:t>三</w:t>
            </w:r>
            <w:r>
              <w:rPr>
                <w:rFonts w:hint="eastAsia" w:ascii="华文细黑" w:hAnsi="华文细黑" w:eastAsia="华文细黑" w:cs="宋体"/>
                <w:b/>
                <w:kern w:val="0"/>
                <w:szCs w:val="21"/>
              </w:rPr>
              <w:t>、现场恢复</w:t>
            </w:r>
          </w:p>
        </w:tc>
        <w:tc>
          <w:tcPr>
            <w:tcW w:w="6118" w:type="dxa"/>
            <w:vAlign w:val="center"/>
          </w:tcPr>
          <w:p>
            <w:pPr>
              <w:widowControl/>
              <w:jc w:val="center"/>
              <w:rPr>
                <w:rFonts w:ascii="华文细黑" w:hAnsi="华文细黑" w:eastAsia="华文细黑" w:cs="宋体"/>
                <w:kern w:val="0"/>
                <w:szCs w:val="21"/>
              </w:rPr>
            </w:pPr>
            <w:r>
              <w:rPr>
                <w:rFonts w:hint="eastAsia" w:ascii="华文细黑" w:hAnsi="华文细黑" w:eastAsia="华文细黑" w:cs="宋体"/>
                <w:kern w:val="0"/>
                <w:szCs w:val="21"/>
              </w:rPr>
              <w:t>（不需要填写）</w:t>
            </w:r>
          </w:p>
        </w:tc>
        <w:tc>
          <w:tcPr>
            <w:tcW w:w="870" w:type="dxa"/>
            <w:vAlign w:val="center"/>
          </w:tcPr>
          <w:p>
            <w:pPr>
              <w:widowControl/>
              <w:rPr>
                <w:rFonts w:ascii="华文细黑" w:hAnsi="华文细黑" w:eastAsia="华文细黑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560" w:lineRule="exact"/>
        <w:contextualSpacing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故障诊断报告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表</w:t>
      </w:r>
    </w:p>
    <w:p>
      <w:pPr>
        <w:spacing w:line="560" w:lineRule="exact"/>
        <w:contextualSpacing/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故障现象1：本试题满分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50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分， 实际得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分</w:t>
      </w:r>
    </w:p>
    <w:tbl>
      <w:tblPr>
        <w:tblStyle w:val="5"/>
        <w:tblW w:w="95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995"/>
        <w:gridCol w:w="995"/>
        <w:gridCol w:w="995"/>
        <w:gridCol w:w="785"/>
        <w:gridCol w:w="213"/>
        <w:gridCol w:w="966"/>
        <w:gridCol w:w="30"/>
        <w:gridCol w:w="996"/>
        <w:gridCol w:w="1480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single" w:color="auto" w:sz="2" w:space="0"/>
              <w:bottom w:val="single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一.准确再现并描述故障现象、分析并列举故障原因</w:t>
            </w:r>
          </w:p>
        </w:tc>
        <w:tc>
          <w:tcPr>
            <w:tcW w:w="708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故障现象描述：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控制原理图，电路图来源（         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              ），不用者不填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6" w:hRule="atLeast"/>
          <w:jc w:val="center"/>
        </w:trPr>
        <w:tc>
          <w:tcPr>
            <w:tcW w:w="8801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8801" w:type="dxa"/>
            <w:gridSpan w:val="10"/>
            <w:tcBorders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初步分析测试结果，必要时简单修复，并做进一步诊断（或验证），不用者不填。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single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故障可能范围，分析到第一层即可，不用者不填：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single" w:color="auto" w:sz="2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exact"/>
          <w:jc w:val="center"/>
        </w:trPr>
        <w:tc>
          <w:tcPr>
            <w:tcW w:w="8801" w:type="dxa"/>
            <w:gridSpan w:val="10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二.故障确诊过程</w:t>
            </w:r>
          </w:p>
        </w:tc>
        <w:tc>
          <w:tcPr>
            <w:tcW w:w="708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tblHeader/>
          <w:jc w:val="center"/>
        </w:trPr>
        <w:tc>
          <w:tcPr>
            <w:tcW w:w="8801" w:type="dxa"/>
            <w:gridSpan w:val="10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基于以上诊断结论，实施诊断，确定故障范围</w:t>
            </w:r>
          </w:p>
        </w:tc>
        <w:tc>
          <w:tcPr>
            <w:tcW w:w="708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tblHeader/>
          <w:jc w:val="center"/>
        </w:trPr>
        <w:tc>
          <w:tcPr>
            <w:tcW w:w="1346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测试对象</w:t>
            </w:r>
          </w:p>
        </w:tc>
        <w:tc>
          <w:tcPr>
            <w:tcW w:w="7455" w:type="dxa"/>
            <w:gridSpan w:val="9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tblHeader/>
          <w:jc w:val="center"/>
        </w:trPr>
        <w:tc>
          <w:tcPr>
            <w:tcW w:w="1346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测试条件</w:t>
            </w:r>
          </w:p>
        </w:tc>
        <w:tc>
          <w:tcPr>
            <w:tcW w:w="3770" w:type="dxa"/>
            <w:gridSpan w:val="4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179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使用设备</w:t>
            </w:r>
          </w:p>
        </w:tc>
        <w:tc>
          <w:tcPr>
            <w:tcW w:w="2506" w:type="dxa"/>
            <w:gridSpan w:val="3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tblHeader/>
          <w:jc w:val="center"/>
        </w:trPr>
        <w:tc>
          <w:tcPr>
            <w:tcW w:w="8801" w:type="dxa"/>
            <w:gridSpan w:val="1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电路电压、数据流或尾气排放数值测试结果，不用者不填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46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测试参数</w:t>
            </w:r>
          </w:p>
        </w:tc>
        <w:tc>
          <w:tcPr>
            <w:tcW w:w="995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5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5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8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6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6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80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46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标准描述</w:t>
            </w:r>
          </w:p>
        </w:tc>
        <w:tc>
          <w:tcPr>
            <w:tcW w:w="995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5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5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8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6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6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80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46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测试结果</w:t>
            </w:r>
          </w:p>
        </w:tc>
        <w:tc>
          <w:tcPr>
            <w:tcW w:w="995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5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5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8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6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6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80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46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是否正常</w:t>
            </w:r>
          </w:p>
        </w:tc>
        <w:tc>
          <w:tcPr>
            <w:tcW w:w="995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5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5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8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6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6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80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8801" w:type="dxa"/>
            <w:gridSpan w:val="10"/>
            <w:tcBorders>
              <w:top w:val="single" w:color="auto" w:sz="2" w:space="0"/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分析测试结果，必要时简单修复，并做进一步诊断（或验证），不用者不填。：</w:t>
            </w:r>
          </w:p>
        </w:tc>
        <w:tc>
          <w:tcPr>
            <w:tcW w:w="708" w:type="dxa"/>
            <w:vMerge w:val="restart"/>
            <w:tcBorders>
              <w:top w:val="single" w:color="auto" w:sz="2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E.最终诊断结论：引起故障的可能原因：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bottom w:val="dashed" w:color="auto" w:sz="4" w:space="0"/>
            </w:tcBorders>
            <w:vAlign w:val="center"/>
          </w:tcPr>
          <w:p>
            <w:pPr>
              <w:contextualSpacing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三.分析故障机理，提出维修建议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single" w:color="auto" w:sz="4" w:space="0"/>
            </w:tcBorders>
            <w:vAlign w:val="center"/>
          </w:tcPr>
          <w:p>
            <w:pPr>
              <w:contextualSpacing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</w:tbl>
    <w:p>
      <w:pPr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br w:type="page"/>
      </w:r>
    </w:p>
    <w:p>
      <w:pPr>
        <w:spacing w:line="560" w:lineRule="exact"/>
        <w:contextualSpacing/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故障现象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：本试题满分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50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分， 实际得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分</w:t>
      </w:r>
    </w:p>
    <w:tbl>
      <w:tblPr>
        <w:tblStyle w:val="5"/>
        <w:tblW w:w="95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995"/>
        <w:gridCol w:w="995"/>
        <w:gridCol w:w="995"/>
        <w:gridCol w:w="785"/>
        <w:gridCol w:w="213"/>
        <w:gridCol w:w="966"/>
        <w:gridCol w:w="30"/>
        <w:gridCol w:w="996"/>
        <w:gridCol w:w="1480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single" w:color="auto" w:sz="2" w:space="0"/>
              <w:bottom w:val="single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一.准确再现并描述故障现象、分析并列举故障原因</w:t>
            </w:r>
          </w:p>
        </w:tc>
        <w:tc>
          <w:tcPr>
            <w:tcW w:w="708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故障现象描述：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控制原理图，电路图来源（         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              ），不用者不填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6" w:hRule="atLeast"/>
          <w:jc w:val="center"/>
        </w:trPr>
        <w:tc>
          <w:tcPr>
            <w:tcW w:w="8801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8801" w:type="dxa"/>
            <w:gridSpan w:val="10"/>
            <w:tcBorders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初步分析测试结果，必要时简单修复，并做进一步诊断（或验证），不用者不填。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single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故障可能范围，分析到第一层即可，不用者不填：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single" w:color="auto" w:sz="2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exact"/>
          <w:jc w:val="center"/>
        </w:trPr>
        <w:tc>
          <w:tcPr>
            <w:tcW w:w="8801" w:type="dxa"/>
            <w:gridSpan w:val="10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二.故障确诊过程</w:t>
            </w:r>
          </w:p>
        </w:tc>
        <w:tc>
          <w:tcPr>
            <w:tcW w:w="708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tblHeader/>
          <w:jc w:val="center"/>
        </w:trPr>
        <w:tc>
          <w:tcPr>
            <w:tcW w:w="8801" w:type="dxa"/>
            <w:gridSpan w:val="10"/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基于以上诊断结论，实施诊断，确定故障范围</w:t>
            </w:r>
          </w:p>
        </w:tc>
        <w:tc>
          <w:tcPr>
            <w:tcW w:w="708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tblHeader/>
          <w:jc w:val="center"/>
        </w:trPr>
        <w:tc>
          <w:tcPr>
            <w:tcW w:w="1346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测试对象</w:t>
            </w:r>
          </w:p>
        </w:tc>
        <w:tc>
          <w:tcPr>
            <w:tcW w:w="7455" w:type="dxa"/>
            <w:gridSpan w:val="9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tblHeader/>
          <w:jc w:val="center"/>
        </w:trPr>
        <w:tc>
          <w:tcPr>
            <w:tcW w:w="1346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测试条件</w:t>
            </w:r>
          </w:p>
        </w:tc>
        <w:tc>
          <w:tcPr>
            <w:tcW w:w="3770" w:type="dxa"/>
            <w:gridSpan w:val="4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179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使用设备</w:t>
            </w:r>
          </w:p>
        </w:tc>
        <w:tc>
          <w:tcPr>
            <w:tcW w:w="2506" w:type="dxa"/>
            <w:gridSpan w:val="3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tblHeader/>
          <w:jc w:val="center"/>
        </w:trPr>
        <w:tc>
          <w:tcPr>
            <w:tcW w:w="8801" w:type="dxa"/>
            <w:gridSpan w:val="10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电路电压、数据流或尾气排放数值测试结果，不用者不填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46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测试参数</w:t>
            </w:r>
          </w:p>
        </w:tc>
        <w:tc>
          <w:tcPr>
            <w:tcW w:w="995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5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5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8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6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6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80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46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标准描述</w:t>
            </w:r>
          </w:p>
        </w:tc>
        <w:tc>
          <w:tcPr>
            <w:tcW w:w="995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5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5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8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6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6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80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46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测试结果</w:t>
            </w:r>
          </w:p>
        </w:tc>
        <w:tc>
          <w:tcPr>
            <w:tcW w:w="995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5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5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8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6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6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80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46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是否正常</w:t>
            </w:r>
          </w:p>
        </w:tc>
        <w:tc>
          <w:tcPr>
            <w:tcW w:w="995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5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5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8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6" w:type="dxa"/>
            <w:gridSpan w:val="2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996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80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8801" w:type="dxa"/>
            <w:gridSpan w:val="10"/>
            <w:tcBorders>
              <w:top w:val="single" w:color="auto" w:sz="2" w:space="0"/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分析测试结果，必要时简单修复，并做进一步诊断（或验证），不用者不填。：</w:t>
            </w:r>
          </w:p>
        </w:tc>
        <w:tc>
          <w:tcPr>
            <w:tcW w:w="708" w:type="dxa"/>
            <w:vMerge w:val="restart"/>
            <w:tcBorders>
              <w:top w:val="single" w:color="auto" w:sz="2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bottom w:val="dashed" w:color="auto" w:sz="4" w:space="0"/>
            </w:tcBorders>
            <w:vAlign w:val="center"/>
          </w:tcPr>
          <w:p>
            <w:pPr>
              <w:contextualSpacing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E.最终诊断结论：引起故障的可能原因：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single" w:color="auto" w:sz="4" w:space="0"/>
            </w:tcBorders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bottom w:val="dashed" w:color="auto" w:sz="4" w:space="0"/>
            </w:tcBorders>
            <w:vAlign w:val="center"/>
          </w:tcPr>
          <w:p>
            <w:pPr>
              <w:contextualSpacing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三.分析故障机理，提出维修建议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dashed" w:color="auto" w:sz="4" w:space="0"/>
            </w:tcBorders>
            <w:vAlign w:val="center"/>
          </w:tcPr>
          <w:p>
            <w:pPr>
              <w:contextualSpacing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801" w:type="dxa"/>
            <w:gridSpan w:val="10"/>
            <w:tcBorders>
              <w:top w:val="dashed" w:color="auto" w:sz="4" w:space="0"/>
              <w:bottom w:val="single" w:color="auto" w:sz="4" w:space="0"/>
            </w:tcBorders>
            <w:vAlign w:val="center"/>
          </w:tcPr>
          <w:p>
            <w:pPr>
              <w:contextualSpacing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</w:tbl>
    <w:p>
      <w:pPr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注意：本页为每个故障诊断的最后一步，建议选手将最后一步放置在该页面。本诊断报告仅适用于起动机不转和发动机无法起动。</w:t>
      </w:r>
    </w:p>
    <w:p>
      <w:pPr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br w:type="page"/>
      </w:r>
    </w:p>
    <w:p>
      <w:pPr>
        <w:contextualSpacing/>
        <w:rPr>
          <w:rFonts w:hint="eastAsia" w:asciiTheme="majorEastAsia" w:hAnsiTheme="majorEastAsia" w:eastAsiaTheme="majorEastAsia" w:cstheme="majorEastAsia"/>
          <w:sz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lang w:eastAsia="zh-CN"/>
        </w:rPr>
        <w:t>附件说明：</w:t>
      </w:r>
    </w:p>
    <w:p>
      <w:pPr>
        <w:contextualSpacing/>
        <w:rPr>
          <w:rFonts w:hint="eastAsia" w:asciiTheme="majorEastAsia" w:hAnsiTheme="majorEastAsia" w:eastAsiaTheme="majorEastAsia" w:cstheme="majorEastAsia"/>
          <w:sz w:val="24"/>
          <w:lang w:eastAsia="zh-CN"/>
        </w:rPr>
      </w:pPr>
      <w:bookmarkStart w:id="10" w:name="_GoBack"/>
      <w:bookmarkEnd w:id="10"/>
    </w:p>
    <w:p>
      <w:pPr>
        <w:contextualSpacing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(1)发动机：发动机起动机不转、无法起动。电路故障。</w:t>
      </w:r>
    </w:p>
    <w:p>
      <w:pPr>
        <w:contextualSpacing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(2)车身电气：电源、仪表、灯光、辅助电路等车身电气。</w:t>
      </w:r>
    </w:p>
    <w:p>
      <w:pPr>
        <w:rPr>
          <w:rFonts w:hint="eastAsia" w:asciiTheme="majorEastAsia" w:hAnsiTheme="majorEastAsia" w:eastAsiaTheme="majorEastAsia" w:cstheme="majorEastAsia"/>
          <w:sz w:val="24"/>
          <w:szCs w:val="32"/>
        </w:rPr>
      </w:pPr>
    </w:p>
    <w:tbl>
      <w:tblPr>
        <w:tblStyle w:val="5"/>
        <w:tblpPr w:leftFromText="180" w:rightFromText="180" w:vertAnchor="text" w:horzAnchor="page" w:tblpX="915" w:tblpY="345"/>
        <w:tblOverlap w:val="never"/>
        <w:tblW w:w="1029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749"/>
        <w:gridCol w:w="78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652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  <w:t>项目</w:t>
            </w:r>
          </w:p>
        </w:tc>
        <w:tc>
          <w:tcPr>
            <w:tcW w:w="749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  <w:t>比例</w:t>
            </w:r>
          </w:p>
        </w:tc>
        <w:tc>
          <w:tcPr>
            <w:tcW w:w="7897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  <w:t>评分标准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1652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  <w:t>故障诊断流程、思路。</w:t>
            </w: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  <w:t>25％</w:t>
            </w:r>
          </w:p>
        </w:tc>
        <w:tc>
          <w:tcPr>
            <w:tcW w:w="7897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pacing w:val="-8"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8"/>
                <w:sz w:val="24"/>
                <w:szCs w:val="32"/>
              </w:rPr>
              <w:t>根据故障现象，借助检测设备、工具、量具，诊断思路清晰，故障检测步骤科学合理。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652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  <w:t>诊断结论</w:t>
            </w: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  <w:t>50％</w:t>
            </w:r>
          </w:p>
        </w:tc>
        <w:tc>
          <w:tcPr>
            <w:tcW w:w="7897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  <w:t>诊断、记录相应故障点或部位。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652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  <w:t>故障排除</w:t>
            </w: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  <w:t>15％</w:t>
            </w:r>
          </w:p>
        </w:tc>
        <w:tc>
          <w:tcPr>
            <w:tcW w:w="7897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  <w:t>要求将诊断出的故障做出正确的修复。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652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  <w:t>职业素养</w:t>
            </w:r>
          </w:p>
        </w:tc>
        <w:tc>
          <w:tcPr>
            <w:tcW w:w="74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  <w:t>10％</w:t>
            </w:r>
          </w:p>
        </w:tc>
        <w:tc>
          <w:tcPr>
            <w:tcW w:w="7897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32"/>
              </w:rPr>
              <w:t xml:space="preserve">安全操作规程； 5S要求；遵守赛场纪律。 </w:t>
            </w:r>
          </w:p>
        </w:tc>
      </w:tr>
    </w:tbl>
    <w:p>
      <w:pPr>
        <w:pStyle w:val="15"/>
        <w:spacing w:before="0" w:beforeAutospacing="0" w:after="0" w:afterAutospacing="0"/>
        <w:contextualSpacing/>
        <w:rPr>
          <w:rFonts w:hint="eastAsia" w:asciiTheme="majorEastAsia" w:hAnsiTheme="majorEastAsia" w:eastAsiaTheme="majorEastAsia" w:cstheme="majorEastAsia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szCs w:val="32"/>
        </w:rPr>
        <w:t xml:space="preserve">技术规范    </w:t>
      </w:r>
      <w:r>
        <w:rPr>
          <w:rFonts w:hint="eastAsia" w:asciiTheme="majorEastAsia" w:hAnsiTheme="majorEastAsia" w:eastAsiaTheme="majorEastAsia" w:cstheme="majorEastAsia"/>
          <w:szCs w:val="32"/>
        </w:rPr>
        <w:t>根据比赛车型维修手册、设备使用说明等进行实操。</w:t>
      </w:r>
    </w:p>
    <w:p>
      <w:pPr>
        <w:spacing w:before="156" w:beforeLines="50" w:after="156" w:afterLines="50"/>
        <w:jc w:val="center"/>
        <w:rPr>
          <w:rFonts w:hint="eastAsia" w:asciiTheme="majorEastAsia" w:hAnsiTheme="majorEastAsia" w:eastAsiaTheme="majorEastAsia" w:cstheme="majorEastAsia"/>
          <w:b/>
          <w:sz w:val="22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sz w:val="22"/>
          <w:szCs w:val="28"/>
        </w:rPr>
        <w:t>汽车电气诊断技术模块故障设置依据</w:t>
      </w:r>
    </w:p>
    <w:tbl>
      <w:tblPr>
        <w:tblStyle w:val="5"/>
        <w:tblW w:w="103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9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70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故障现象</w:t>
            </w:r>
          </w:p>
        </w:tc>
        <w:tc>
          <w:tcPr>
            <w:tcW w:w="9269" w:type="dxa"/>
            <w:vAlign w:val="center"/>
          </w:tcPr>
          <w:p>
            <w:pPr>
              <w:contextualSpacing/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故障设置点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2" w:hRule="atLeast"/>
          <w:jc w:val="center"/>
        </w:trPr>
        <w:tc>
          <w:tcPr>
            <w:tcW w:w="1070" w:type="dxa"/>
            <w:vAlign w:val="center"/>
          </w:tcPr>
          <w:p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起动机</w:t>
            </w:r>
          </w:p>
          <w:p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不运转</w:t>
            </w:r>
          </w:p>
        </w:tc>
        <w:tc>
          <w:tcPr>
            <w:tcW w:w="9269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pacing w:val="-8"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pacing w:val="-8"/>
                <w:sz w:val="24"/>
                <w:szCs w:val="32"/>
              </w:rPr>
              <w:t>.发动机控制模块，电源电路上，保险丝、继电器、线路及接点。</w:t>
            </w:r>
          </w:p>
          <w:p>
            <w:pPr>
              <w:rPr>
                <w:rFonts w:hint="eastAsia" w:asciiTheme="majorEastAsia" w:hAnsiTheme="majorEastAsia" w:eastAsiaTheme="majorEastAsia" w:cstheme="majorEastAsia"/>
                <w:spacing w:val="-8"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8"/>
                <w:sz w:val="24"/>
                <w:szCs w:val="32"/>
              </w:rPr>
              <w:t>2.起动机电磁开关，起动机、相关保险丝、继电器、线路及接点、关键信号的输入等。</w:t>
            </w:r>
          </w:p>
          <w:p>
            <w:pPr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8"/>
                <w:sz w:val="24"/>
                <w:szCs w:val="32"/>
              </w:rPr>
              <w:t>故障诊断要求完成详细诊断报告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9" w:hRule="atLeast"/>
          <w:jc w:val="center"/>
        </w:trPr>
        <w:tc>
          <w:tcPr>
            <w:tcW w:w="1070" w:type="dxa"/>
            <w:vAlign w:val="center"/>
          </w:tcPr>
          <w:p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起动机正常运转，发动机无法起动</w:t>
            </w:r>
          </w:p>
        </w:tc>
        <w:tc>
          <w:tcPr>
            <w:tcW w:w="9269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pacing w:val="-8"/>
                <w:sz w:val="24"/>
                <w:szCs w:val="32"/>
              </w:rPr>
            </w:pPr>
            <w:bookmarkStart w:id="0" w:name="OLE_LINK7"/>
            <w:bookmarkStart w:id="1" w:name="OLE_LINK6"/>
            <w:r>
              <w:rPr>
                <w:rFonts w:hint="eastAsia" w:asciiTheme="majorEastAsia" w:hAnsiTheme="majorEastAsia" w:eastAsiaTheme="majorEastAsia" w:cstheme="majorEastAsia"/>
                <w:spacing w:val="-8"/>
                <w:sz w:val="24"/>
                <w:szCs w:val="32"/>
              </w:rPr>
              <w:t>1.点火系统，包括火花塞、点火模块、电源及控制电路等</w:t>
            </w:r>
          </w:p>
          <w:bookmarkEnd w:id="0"/>
          <w:bookmarkEnd w:id="1"/>
          <w:p>
            <w:pPr>
              <w:rPr>
                <w:rFonts w:hint="eastAsia" w:asciiTheme="majorEastAsia" w:hAnsiTheme="majorEastAsia" w:eastAsiaTheme="majorEastAsia" w:cstheme="majorEastAsia"/>
                <w:spacing w:val="-8"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8"/>
                <w:sz w:val="24"/>
                <w:szCs w:val="32"/>
              </w:rPr>
              <w:t>2.燃油系统，</w:t>
            </w:r>
            <w:bookmarkStart w:id="2" w:name="OLE_LINK4"/>
            <w:bookmarkStart w:id="3" w:name="OLE_LINK5"/>
            <w:bookmarkStart w:id="4" w:name="OLE_LINK3"/>
            <w:r>
              <w:rPr>
                <w:rFonts w:hint="eastAsia" w:asciiTheme="majorEastAsia" w:hAnsiTheme="majorEastAsia" w:eastAsiaTheme="majorEastAsia" w:cstheme="majorEastAsia"/>
                <w:spacing w:val="-8"/>
                <w:sz w:val="24"/>
                <w:szCs w:val="32"/>
              </w:rPr>
              <w:t>喷油器及其电路、</w:t>
            </w:r>
            <w:bookmarkEnd w:id="2"/>
            <w:bookmarkEnd w:id="3"/>
            <w:bookmarkEnd w:id="4"/>
            <w:r>
              <w:rPr>
                <w:rFonts w:hint="eastAsia" w:asciiTheme="majorEastAsia" w:hAnsiTheme="majorEastAsia" w:eastAsiaTheme="majorEastAsia" w:cstheme="majorEastAsia"/>
                <w:spacing w:val="-8"/>
                <w:sz w:val="24"/>
                <w:szCs w:val="32"/>
              </w:rPr>
              <w:t>燃油泵及其控制系统等</w:t>
            </w:r>
          </w:p>
          <w:p>
            <w:pPr>
              <w:rPr>
                <w:rFonts w:hint="eastAsia" w:asciiTheme="majorEastAsia" w:hAnsiTheme="majorEastAsia" w:eastAsiaTheme="majorEastAsia" w:cstheme="majorEastAsia"/>
                <w:spacing w:val="-8"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8"/>
                <w:sz w:val="24"/>
                <w:szCs w:val="32"/>
              </w:rPr>
              <w:t>3.进气系统，</w:t>
            </w:r>
            <w:bookmarkStart w:id="5" w:name="OLE_LINK9"/>
            <w:bookmarkStart w:id="6" w:name="OLE_LINK8"/>
            <w:r>
              <w:rPr>
                <w:rFonts w:hint="eastAsia" w:asciiTheme="majorEastAsia" w:hAnsiTheme="majorEastAsia" w:eastAsiaTheme="majorEastAsia" w:cstheme="majorEastAsia"/>
                <w:spacing w:val="-8"/>
                <w:sz w:val="24"/>
                <w:szCs w:val="32"/>
              </w:rPr>
              <w:t>节气门自身及其控制系统</w:t>
            </w:r>
            <w:bookmarkEnd w:id="5"/>
            <w:bookmarkEnd w:id="6"/>
          </w:p>
          <w:p>
            <w:pPr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8"/>
                <w:sz w:val="24"/>
                <w:szCs w:val="32"/>
              </w:rPr>
              <w:t>4.</w:t>
            </w:r>
            <w:bookmarkStart w:id="7" w:name="OLE_LINK13"/>
            <w:bookmarkStart w:id="8" w:name="OLE_LINK11"/>
            <w:bookmarkStart w:id="9" w:name="OLE_LINK12"/>
            <w:r>
              <w:rPr>
                <w:rFonts w:hint="eastAsia" w:asciiTheme="majorEastAsia" w:hAnsiTheme="majorEastAsia" w:eastAsiaTheme="majorEastAsia" w:cstheme="majorEastAsia"/>
                <w:spacing w:val="-8"/>
                <w:sz w:val="24"/>
                <w:szCs w:val="32"/>
              </w:rPr>
              <w:t>电控系统，关键传感器及其信号电路</w:t>
            </w:r>
            <w:bookmarkEnd w:id="7"/>
            <w:bookmarkEnd w:id="8"/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070" w:type="dxa"/>
            <w:vAlign w:val="center"/>
          </w:tcPr>
          <w:p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灯光系统</w:t>
            </w:r>
          </w:p>
        </w:tc>
        <w:tc>
          <w:tcPr>
            <w:tcW w:w="9269" w:type="dxa"/>
          </w:tcPr>
          <w:p>
            <w:pPr>
              <w:snapToGrid w:val="0"/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pacing w:val="-8"/>
                <w:sz w:val="24"/>
                <w:szCs w:val="32"/>
              </w:rPr>
              <w:t>.倒车灯  2.制动灯 3.转向/警报灯  4雾灯  5.大/小灯  完成详细诊断报告</w:t>
            </w:r>
          </w:p>
        </w:tc>
      </w:tr>
    </w:tbl>
    <w:p>
      <w:pPr>
        <w:pStyle w:val="15"/>
        <w:spacing w:before="0" w:beforeAutospacing="0" w:after="0" w:afterAutospacing="0" w:line="600" w:lineRule="exac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注意：故障包含器件及电路故障，电路故障包括断路、短路、虚接等。</w:t>
      </w:r>
    </w:p>
    <w:p>
      <w:pPr>
        <w:rPr>
          <w:rFonts w:hint="eastAsia" w:ascii="华文细黑" w:hAnsi="华文细黑" w:eastAsia="华文细黑"/>
          <w:szCs w:val="21"/>
          <w:lang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780" w:right="1466" w:bottom="1092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华文仿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3</w:t>
    </w:r>
    <w:r>
      <w:rPr>
        <w:rStyle w:val="8"/>
      </w:rPr>
      <w:fldChar w:fldCharType="end"/>
    </w:r>
  </w:p>
  <w:p>
    <w:pPr>
      <w:pStyle w:val="3"/>
      <w:ind w:right="360" w:firstLine="360"/>
      <w:jc w:val="center"/>
    </w:pPr>
    <w:r>
      <w:rPr>
        <w:rFonts w:hint="eastAsia"/>
        <w:kern w:val="0"/>
        <w:szCs w:val="21"/>
      </w:rPr>
      <w:t>故障诊断作业表第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页共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5AF2"/>
    <w:rsid w:val="00010451"/>
    <w:rsid w:val="00050293"/>
    <w:rsid w:val="00075055"/>
    <w:rsid w:val="00080D99"/>
    <w:rsid w:val="000C1E0E"/>
    <w:rsid w:val="000C4783"/>
    <w:rsid w:val="000D45B8"/>
    <w:rsid w:val="000F70D8"/>
    <w:rsid w:val="000F7FA0"/>
    <w:rsid w:val="001318CE"/>
    <w:rsid w:val="001320B2"/>
    <w:rsid w:val="00135A7F"/>
    <w:rsid w:val="00142CE7"/>
    <w:rsid w:val="00197C7F"/>
    <w:rsid w:val="001A3A16"/>
    <w:rsid w:val="001A3F0A"/>
    <w:rsid w:val="001C25E4"/>
    <w:rsid w:val="001C69BF"/>
    <w:rsid w:val="001E5A0C"/>
    <w:rsid w:val="00200F8B"/>
    <w:rsid w:val="00226476"/>
    <w:rsid w:val="0023380C"/>
    <w:rsid w:val="00241F82"/>
    <w:rsid w:val="00252CC6"/>
    <w:rsid w:val="00253762"/>
    <w:rsid w:val="0025550C"/>
    <w:rsid w:val="00257FB1"/>
    <w:rsid w:val="00265F86"/>
    <w:rsid w:val="00282A2E"/>
    <w:rsid w:val="002841D0"/>
    <w:rsid w:val="0028459A"/>
    <w:rsid w:val="00294F9A"/>
    <w:rsid w:val="002B4F9D"/>
    <w:rsid w:val="002C3A0D"/>
    <w:rsid w:val="002E1070"/>
    <w:rsid w:val="002E1B48"/>
    <w:rsid w:val="002E5CB5"/>
    <w:rsid w:val="002F394E"/>
    <w:rsid w:val="00320595"/>
    <w:rsid w:val="00320A5B"/>
    <w:rsid w:val="00345F69"/>
    <w:rsid w:val="00357353"/>
    <w:rsid w:val="00366109"/>
    <w:rsid w:val="00380937"/>
    <w:rsid w:val="003931D1"/>
    <w:rsid w:val="003A30E8"/>
    <w:rsid w:val="003D6604"/>
    <w:rsid w:val="003F6B93"/>
    <w:rsid w:val="0040435B"/>
    <w:rsid w:val="00405F95"/>
    <w:rsid w:val="00415CAE"/>
    <w:rsid w:val="00430F1C"/>
    <w:rsid w:val="0043158D"/>
    <w:rsid w:val="00436B33"/>
    <w:rsid w:val="00462A66"/>
    <w:rsid w:val="00471B96"/>
    <w:rsid w:val="004E647F"/>
    <w:rsid w:val="00500D49"/>
    <w:rsid w:val="00506658"/>
    <w:rsid w:val="00511C9C"/>
    <w:rsid w:val="00511E8B"/>
    <w:rsid w:val="00514B83"/>
    <w:rsid w:val="00522A5D"/>
    <w:rsid w:val="00530088"/>
    <w:rsid w:val="00545887"/>
    <w:rsid w:val="005658C9"/>
    <w:rsid w:val="005700AA"/>
    <w:rsid w:val="0058159F"/>
    <w:rsid w:val="00587CC2"/>
    <w:rsid w:val="005C21CB"/>
    <w:rsid w:val="005E0E1E"/>
    <w:rsid w:val="005F25E1"/>
    <w:rsid w:val="00606495"/>
    <w:rsid w:val="00627BFE"/>
    <w:rsid w:val="006425CD"/>
    <w:rsid w:val="00642EF2"/>
    <w:rsid w:val="0065022E"/>
    <w:rsid w:val="0065091A"/>
    <w:rsid w:val="006859A6"/>
    <w:rsid w:val="0068681D"/>
    <w:rsid w:val="00692892"/>
    <w:rsid w:val="00693304"/>
    <w:rsid w:val="006963A3"/>
    <w:rsid w:val="006A7AF9"/>
    <w:rsid w:val="006B6A6E"/>
    <w:rsid w:val="006C7EA4"/>
    <w:rsid w:val="006E5F67"/>
    <w:rsid w:val="006E6847"/>
    <w:rsid w:val="006F363A"/>
    <w:rsid w:val="00755EB7"/>
    <w:rsid w:val="0076058A"/>
    <w:rsid w:val="00765B8D"/>
    <w:rsid w:val="00776825"/>
    <w:rsid w:val="00791FB6"/>
    <w:rsid w:val="007A7A80"/>
    <w:rsid w:val="007D0984"/>
    <w:rsid w:val="007D1F9B"/>
    <w:rsid w:val="007D3642"/>
    <w:rsid w:val="007F5E6B"/>
    <w:rsid w:val="007F705B"/>
    <w:rsid w:val="008060E0"/>
    <w:rsid w:val="008151F0"/>
    <w:rsid w:val="00816068"/>
    <w:rsid w:val="00821156"/>
    <w:rsid w:val="00830200"/>
    <w:rsid w:val="00841332"/>
    <w:rsid w:val="0086246E"/>
    <w:rsid w:val="00884C0D"/>
    <w:rsid w:val="00892AB4"/>
    <w:rsid w:val="008B3299"/>
    <w:rsid w:val="008B48A2"/>
    <w:rsid w:val="008D3A92"/>
    <w:rsid w:val="008D4647"/>
    <w:rsid w:val="008E73D3"/>
    <w:rsid w:val="008E7635"/>
    <w:rsid w:val="009046B9"/>
    <w:rsid w:val="009073C0"/>
    <w:rsid w:val="0090751F"/>
    <w:rsid w:val="009237BC"/>
    <w:rsid w:val="00925D26"/>
    <w:rsid w:val="009455B8"/>
    <w:rsid w:val="009658B6"/>
    <w:rsid w:val="00966EF4"/>
    <w:rsid w:val="0097795F"/>
    <w:rsid w:val="00996413"/>
    <w:rsid w:val="009C2569"/>
    <w:rsid w:val="009D5B44"/>
    <w:rsid w:val="009E0312"/>
    <w:rsid w:val="009E6FF9"/>
    <w:rsid w:val="00A05DE1"/>
    <w:rsid w:val="00A15E43"/>
    <w:rsid w:val="00A327BC"/>
    <w:rsid w:val="00A32FD4"/>
    <w:rsid w:val="00A40489"/>
    <w:rsid w:val="00A81302"/>
    <w:rsid w:val="00A82DCA"/>
    <w:rsid w:val="00A85716"/>
    <w:rsid w:val="00A86C57"/>
    <w:rsid w:val="00A9395E"/>
    <w:rsid w:val="00AA406F"/>
    <w:rsid w:val="00AA7F78"/>
    <w:rsid w:val="00AD267B"/>
    <w:rsid w:val="00AD5FFF"/>
    <w:rsid w:val="00AE1F8D"/>
    <w:rsid w:val="00AF19E3"/>
    <w:rsid w:val="00AF690F"/>
    <w:rsid w:val="00B24818"/>
    <w:rsid w:val="00B26A67"/>
    <w:rsid w:val="00B312DB"/>
    <w:rsid w:val="00B47E1E"/>
    <w:rsid w:val="00B52850"/>
    <w:rsid w:val="00B7256D"/>
    <w:rsid w:val="00B824A8"/>
    <w:rsid w:val="00B875F4"/>
    <w:rsid w:val="00B903DD"/>
    <w:rsid w:val="00B966D0"/>
    <w:rsid w:val="00BA7273"/>
    <w:rsid w:val="00BC0078"/>
    <w:rsid w:val="00BD4CD3"/>
    <w:rsid w:val="00BE56CF"/>
    <w:rsid w:val="00C029B8"/>
    <w:rsid w:val="00C0435D"/>
    <w:rsid w:val="00C12021"/>
    <w:rsid w:val="00C13C6B"/>
    <w:rsid w:val="00C517CB"/>
    <w:rsid w:val="00C61795"/>
    <w:rsid w:val="00C65A7B"/>
    <w:rsid w:val="00CA0C0D"/>
    <w:rsid w:val="00CA1ADD"/>
    <w:rsid w:val="00CC07C9"/>
    <w:rsid w:val="00CE0BEF"/>
    <w:rsid w:val="00CE1795"/>
    <w:rsid w:val="00CE6A23"/>
    <w:rsid w:val="00D1676E"/>
    <w:rsid w:val="00D32D91"/>
    <w:rsid w:val="00D352A6"/>
    <w:rsid w:val="00D75AF2"/>
    <w:rsid w:val="00D946C1"/>
    <w:rsid w:val="00DB36E2"/>
    <w:rsid w:val="00DB57E2"/>
    <w:rsid w:val="00DB6560"/>
    <w:rsid w:val="00E0452C"/>
    <w:rsid w:val="00E25A32"/>
    <w:rsid w:val="00E40B8A"/>
    <w:rsid w:val="00E52B63"/>
    <w:rsid w:val="00E54A7F"/>
    <w:rsid w:val="00E63356"/>
    <w:rsid w:val="00E769E8"/>
    <w:rsid w:val="00E76D8A"/>
    <w:rsid w:val="00EA7519"/>
    <w:rsid w:val="00EB5D78"/>
    <w:rsid w:val="00EC4B33"/>
    <w:rsid w:val="00ED2999"/>
    <w:rsid w:val="00ED4CFF"/>
    <w:rsid w:val="00EE7B18"/>
    <w:rsid w:val="00EF36DC"/>
    <w:rsid w:val="00EF6709"/>
    <w:rsid w:val="00F23119"/>
    <w:rsid w:val="00F25581"/>
    <w:rsid w:val="00F61503"/>
    <w:rsid w:val="00F636ED"/>
    <w:rsid w:val="00F65DC9"/>
    <w:rsid w:val="00F67015"/>
    <w:rsid w:val="00F70819"/>
    <w:rsid w:val="00F712FA"/>
    <w:rsid w:val="00F91F1A"/>
    <w:rsid w:val="00FB42F5"/>
    <w:rsid w:val="00FB5C81"/>
    <w:rsid w:val="00FB77A2"/>
    <w:rsid w:val="00FC4846"/>
    <w:rsid w:val="00FD1151"/>
    <w:rsid w:val="00FD372E"/>
    <w:rsid w:val="00FE6546"/>
    <w:rsid w:val="00FF40D6"/>
    <w:rsid w:val="011A6878"/>
    <w:rsid w:val="04670AA8"/>
    <w:rsid w:val="04BE6340"/>
    <w:rsid w:val="06374F94"/>
    <w:rsid w:val="07BB4E8A"/>
    <w:rsid w:val="093D65CD"/>
    <w:rsid w:val="09E2498B"/>
    <w:rsid w:val="0B054A06"/>
    <w:rsid w:val="1D246FEE"/>
    <w:rsid w:val="1DFC6CD0"/>
    <w:rsid w:val="1E097FA9"/>
    <w:rsid w:val="1E555CE7"/>
    <w:rsid w:val="1E744474"/>
    <w:rsid w:val="1F5B14D7"/>
    <w:rsid w:val="1FA7547F"/>
    <w:rsid w:val="273D7DAC"/>
    <w:rsid w:val="2A6A2D7F"/>
    <w:rsid w:val="2F8A04FF"/>
    <w:rsid w:val="2FEE3341"/>
    <w:rsid w:val="324C3C62"/>
    <w:rsid w:val="3A895733"/>
    <w:rsid w:val="3BCD7DBA"/>
    <w:rsid w:val="408C0132"/>
    <w:rsid w:val="42161A33"/>
    <w:rsid w:val="43B62CF3"/>
    <w:rsid w:val="4EE347CF"/>
    <w:rsid w:val="533659C5"/>
    <w:rsid w:val="53473BC1"/>
    <w:rsid w:val="5491213A"/>
    <w:rsid w:val="54E70E43"/>
    <w:rsid w:val="5A1B5E33"/>
    <w:rsid w:val="682E30DF"/>
    <w:rsid w:val="6CDB69E8"/>
    <w:rsid w:val="6E9C7E5F"/>
    <w:rsid w:val="6F0F2065"/>
    <w:rsid w:val="729C1FF5"/>
    <w:rsid w:val="74BA7B53"/>
    <w:rsid w:val="77883373"/>
    <w:rsid w:val="78276FF8"/>
    <w:rsid w:val="7AE52FDC"/>
    <w:rsid w:val="7D22239B"/>
    <w:rsid w:val="7E3755C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uiPriority w:val="99"/>
    <w:rPr>
      <w:rFonts w:cs="Times New Roman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4"/>
    <w:semiHidden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7"/>
    <w:link w:val="2"/>
    <w:semiHidden/>
    <w:uiPriority w:val="99"/>
    <w:rPr>
      <w:sz w:val="18"/>
      <w:szCs w:val="18"/>
    </w:rPr>
  </w:style>
  <w:style w:type="paragraph" w:styleId="13">
    <w:name w:val="Intense Quote"/>
    <w:basedOn w:val="1"/>
    <w:next w:val="1"/>
    <w:link w:val="14"/>
    <w:qFormat/>
    <w:uiPriority w:val="30"/>
    <w:pPr>
      <w:widowControl/>
      <w:pBdr>
        <w:bottom w:val="single" w:color="4F81BD" w:themeColor="accent1" w:sz="4" w:space="4"/>
      </w:pBdr>
      <w:spacing w:before="200" w:after="280" w:line="276" w:lineRule="auto"/>
      <w:ind w:left="936" w:right="936"/>
      <w:jc w:val="left"/>
    </w:pPr>
    <w:rPr>
      <w:rFonts w:asciiTheme="minorHAnsi" w:hAnsiTheme="minorHAnsi" w:eastAsiaTheme="minorEastAsia" w:cstheme="minorBidi"/>
      <w:b/>
      <w:bCs/>
      <w:i/>
      <w:iCs/>
      <w:color w:val="4F81BD" w:themeColor="accent1"/>
      <w:kern w:val="0"/>
      <w:sz w:val="22"/>
      <w:szCs w:val="22"/>
    </w:rPr>
  </w:style>
  <w:style w:type="character" w:customStyle="1" w:styleId="14">
    <w:name w:val="明显引用 Char"/>
    <w:basedOn w:val="7"/>
    <w:link w:val="13"/>
    <w:qFormat/>
    <w:uiPriority w:val="30"/>
    <w:rPr>
      <w:rFonts w:asciiTheme="minorHAnsi" w:hAnsiTheme="minorHAnsi" w:eastAsiaTheme="minorEastAsia" w:cstheme="minorBidi"/>
      <w:b/>
      <w:bCs/>
      <w:i/>
      <w:iCs/>
      <w:color w:val="4F81BD" w:themeColor="accent1"/>
      <w:kern w:val="0"/>
      <w:sz w:val="22"/>
    </w:rPr>
  </w:style>
  <w:style w:type="paragraph" w:customStyle="1" w:styleId="15">
    <w:name w:val="msonormalcxspmiddle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SGM</Company>
  <Pages>3</Pages>
  <Words>975</Words>
  <Characters>464</Characters>
  <Lines>3</Lines>
  <Paragraphs>2</Paragraphs>
  <TotalTime>0</TotalTime>
  <ScaleCrop>false</ScaleCrop>
  <LinksUpToDate>false</LinksUpToDate>
  <CharactersWithSpaces>1437</CharactersWithSpaces>
  <Application>WPS Office_11.1.0.9198_F1E327BC-269C-435d-A152-05C5408002CA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2018-03-06T11:11:00Z</dcterms:created>
  <dc:creator>Xue Feng</dc:creator>
  <cp:lastModifiedBy>Administrator</cp:lastModifiedBy>
  <cp:lastPrinted>2019-12-05T01:59:00Z</cp:lastPrinted>
  <dcterms:modified xsi:type="dcterms:W3CDTF">2019-12-12T14:37:07Z</dcterms:modified>
  <dc:title>故障诊断作业记录表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